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方正黑体简体"/>
          <w:color w:val="000000"/>
          <w:sz w:val="32"/>
          <w:szCs w:val="32"/>
        </w:rPr>
      </w:pPr>
      <w:r>
        <w:rPr>
          <w:rFonts w:hint="eastAsia" w:ascii="宋体" w:hAnsi="宋体" w:eastAsia="方正黑体简体"/>
          <w:color w:val="000000"/>
          <w:sz w:val="32"/>
          <w:szCs w:val="32"/>
        </w:rPr>
        <w:t>附件3</w:t>
      </w:r>
    </w:p>
    <w:p>
      <w:pPr>
        <w:adjustRightInd/>
        <w:snapToGrid/>
        <w:spacing w:after="0" w:line="560" w:lineRule="exact"/>
        <w:jc w:val="center"/>
        <w:rPr>
          <w:rFonts w:ascii="宋体" w:hAnsi="宋体" w:eastAsia="方正小标宋简体"/>
          <w:sz w:val="36"/>
          <w:szCs w:val="36"/>
        </w:rPr>
      </w:pPr>
      <w:r>
        <w:rPr>
          <w:rFonts w:hint="eastAsia" w:ascii="宋体" w:hAnsi="宋体" w:eastAsia="方正小标宋简体"/>
          <w:sz w:val="36"/>
          <w:szCs w:val="36"/>
        </w:rPr>
        <w:t>202</w:t>
      </w:r>
      <w:r>
        <w:rPr>
          <w:rFonts w:hint="eastAsia" w:ascii="宋体" w:hAnsi="宋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宋体" w:hAnsi="宋体" w:eastAsia="方正小标宋简体"/>
          <w:sz w:val="36"/>
          <w:szCs w:val="36"/>
        </w:rPr>
        <w:t>年宜昌市综合考核水平评价优良意见表</w:t>
      </w:r>
    </w:p>
    <w:p>
      <w:pPr>
        <w:adjustRightInd/>
        <w:snapToGrid/>
        <w:spacing w:after="0" w:line="560" w:lineRule="exact"/>
        <w:jc w:val="both"/>
        <w:rPr>
          <w:rFonts w:ascii="宋体" w:hAnsi="宋体" w:eastAsia="方正仿宋简体"/>
          <w:b/>
          <w:sz w:val="44"/>
          <w:szCs w:val="44"/>
        </w:rPr>
      </w:pPr>
    </w:p>
    <w:p>
      <w:pPr>
        <w:adjustRightInd/>
        <w:snapToGrid/>
        <w:spacing w:after="0" w:line="560" w:lineRule="exact"/>
        <w:jc w:val="both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b/>
          <w:sz w:val="44"/>
          <w:szCs w:val="44"/>
        </w:rPr>
        <w:t xml:space="preserve">   </w:t>
      </w:r>
      <w:r>
        <w:rPr>
          <w:rFonts w:hint="eastAsia" w:ascii="宋体" w:hAnsi="宋体" w:eastAsia="方正仿宋简体"/>
          <w:sz w:val="32"/>
          <w:szCs w:val="32"/>
        </w:rPr>
        <w:t>根据省职改办要求，本单位对本年度专业技术申报人员分为优、 良两个层次上报，比例为1：4。评价以现行申报条件、评价标准为依据，以专业技术人员业绩、能力为导向，综合“德、能、勤、绩、廉”五个方面内容。</w:t>
      </w:r>
    </w:p>
    <w:p>
      <w:pPr>
        <w:adjustRightInd/>
        <w:snapToGrid/>
        <w:spacing w:after="0" w:line="560" w:lineRule="exact"/>
        <w:ind w:firstLine="640" w:firstLineChars="200"/>
        <w:jc w:val="both"/>
        <w:rPr>
          <w:rFonts w:ascii="宋体" w:hAnsi="宋体" w:eastAsia="方正仿宋简体" w:cs="仿宋_GB2312"/>
          <w:color w:val="000000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本单位202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方正仿宋简体"/>
          <w:sz w:val="32"/>
          <w:szCs w:val="32"/>
        </w:rPr>
        <w:t>年度</w:t>
      </w:r>
      <w:r>
        <w:rPr>
          <w:rFonts w:hint="eastAsia" w:ascii="宋体" w:hAnsi="宋体" w:eastAsia="方正仿宋简体" w:cs="仿宋_GB2312"/>
          <w:color w:val="000000"/>
          <w:sz w:val="32"/>
          <w:szCs w:val="32"/>
        </w:rPr>
        <w:t>申报副高职称评审材料共</w:t>
      </w:r>
      <w:r>
        <w:rPr>
          <w:rFonts w:hint="eastAsia" w:ascii="宋体" w:hAnsi="宋体" w:eastAsia="方正仿宋简体" w:cs="仿宋_GB2312"/>
          <w:color w:val="00000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 w:cs="仿宋_GB2312"/>
          <w:color w:val="000000"/>
          <w:sz w:val="32"/>
          <w:szCs w:val="32"/>
        </w:rPr>
        <w:t>份，根据评价标准与比例，</w:t>
      </w:r>
      <w:r>
        <w:rPr>
          <w:rFonts w:hint="eastAsia" w:ascii="宋体" w:hAnsi="宋体" w:eastAsia="方正仿宋简体" w:cs="仿宋_GB2312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宋体" w:hAnsi="宋体" w:eastAsia="方正仿宋简体" w:cs="仿宋_GB2312"/>
          <w:color w:val="000000"/>
          <w:sz w:val="32"/>
          <w:szCs w:val="32"/>
        </w:rPr>
        <w:t>同志评价为</w:t>
      </w:r>
      <w:r>
        <w:rPr>
          <w:rFonts w:hint="eastAsia" w:ascii="宋体" w:hAnsi="宋体" w:eastAsia="方正仿宋简体" w:cs="仿宋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方正仿宋简体" w:cs="仿宋_GB2312"/>
          <w:color w:val="000000"/>
          <w:sz w:val="32"/>
          <w:szCs w:val="32"/>
        </w:rPr>
        <w:t>。</w:t>
      </w:r>
    </w:p>
    <w:p>
      <w:pPr>
        <w:adjustRightInd/>
        <w:snapToGrid/>
        <w:spacing w:after="0" w:line="560" w:lineRule="exact"/>
        <w:jc w:val="both"/>
        <w:rPr>
          <w:rFonts w:ascii="宋体" w:hAnsi="宋体" w:eastAsia="方正仿宋简体" w:cs="仿宋_GB2312"/>
          <w:color w:val="000000"/>
          <w:sz w:val="32"/>
          <w:szCs w:val="32"/>
        </w:rPr>
      </w:pPr>
    </w:p>
    <w:p>
      <w:pPr>
        <w:adjustRightInd/>
        <w:snapToGrid/>
        <w:spacing w:after="0" w:line="560" w:lineRule="exact"/>
        <w:jc w:val="both"/>
        <w:rPr>
          <w:rFonts w:ascii="宋体" w:hAnsi="宋体" w:eastAsia="方正仿宋简体" w:cs="仿宋_GB2312"/>
          <w:color w:val="000000"/>
          <w:sz w:val="32"/>
          <w:szCs w:val="32"/>
        </w:rPr>
      </w:pPr>
    </w:p>
    <w:p>
      <w:pPr>
        <w:adjustRightInd/>
        <w:snapToGrid/>
        <w:spacing w:after="0" w:line="560" w:lineRule="exact"/>
        <w:ind w:firstLine="640" w:firstLineChars="200"/>
        <w:jc w:val="both"/>
        <w:rPr>
          <w:rFonts w:ascii="宋体" w:hAnsi="宋体" w:eastAsia="方正仿宋简体" w:cs="仿宋_GB2312"/>
          <w:color w:val="000000"/>
          <w:sz w:val="32"/>
          <w:szCs w:val="32"/>
        </w:rPr>
      </w:pPr>
      <w:r>
        <w:rPr>
          <w:rFonts w:hint="eastAsia" w:ascii="宋体" w:hAnsi="宋体" w:eastAsia="方正仿宋简体" w:cs="仿宋_GB2312"/>
          <w:color w:val="000000"/>
          <w:sz w:val="32"/>
          <w:szCs w:val="32"/>
        </w:rPr>
        <w:t>负责人：                           公   章</w:t>
      </w:r>
    </w:p>
    <w:p>
      <w:pPr>
        <w:adjustRightInd/>
        <w:snapToGrid/>
        <w:spacing w:after="0" w:line="560" w:lineRule="exact"/>
        <w:ind w:firstLine="640" w:firstLineChars="200"/>
        <w:jc w:val="both"/>
        <w:rPr>
          <w:rFonts w:ascii="宋体" w:hAnsi="宋体" w:eastAsia="方正仿宋简体" w:cs="仿宋_GB2312"/>
          <w:color w:val="000000"/>
          <w:sz w:val="32"/>
          <w:szCs w:val="32"/>
        </w:rPr>
      </w:pPr>
      <w:r>
        <w:rPr>
          <w:rFonts w:hint="eastAsia" w:ascii="宋体" w:hAnsi="宋体" w:eastAsia="方正仿宋简体" w:cs="仿宋_GB2312"/>
          <w:color w:val="000000"/>
          <w:sz w:val="32"/>
          <w:szCs w:val="32"/>
        </w:rPr>
        <w:t xml:space="preserve">                                年   月   日</w:t>
      </w:r>
    </w:p>
    <w:p>
      <w:pPr>
        <w:adjustRightInd/>
        <w:snapToGrid/>
        <w:spacing w:after="0" w:line="560" w:lineRule="exact"/>
        <w:ind w:firstLine="480" w:firstLineChars="200"/>
        <w:jc w:val="both"/>
        <w:rPr>
          <w:rFonts w:ascii="宋体" w:hAnsi="宋体" w:eastAsia="方正仿宋简体" w:cs="仿宋"/>
          <w:sz w:val="24"/>
        </w:rPr>
      </w:pPr>
    </w:p>
    <w:p>
      <w:pPr>
        <w:adjustRightInd/>
        <w:snapToGrid/>
        <w:spacing w:after="0" w:line="560" w:lineRule="exact"/>
        <w:ind w:firstLine="480" w:firstLineChars="200"/>
        <w:jc w:val="both"/>
        <w:rPr>
          <w:rFonts w:ascii="宋体" w:hAnsi="宋体" w:eastAsia="方正仿宋简体" w:cs="仿宋"/>
          <w:sz w:val="24"/>
        </w:rPr>
      </w:pPr>
    </w:p>
    <w:p>
      <w:pPr>
        <w:adjustRightInd/>
        <w:snapToGrid/>
        <w:spacing w:after="0" w:line="560" w:lineRule="exact"/>
        <w:ind w:firstLine="480" w:firstLineChars="200"/>
        <w:jc w:val="both"/>
        <w:rPr>
          <w:rFonts w:ascii="宋体" w:hAnsi="宋体" w:eastAsia="方正仿宋简体" w:cs="仿宋"/>
          <w:sz w:val="24"/>
        </w:rPr>
      </w:pPr>
      <w:r>
        <w:rPr>
          <w:rFonts w:hint="eastAsia" w:ascii="宋体" w:hAnsi="宋体" w:eastAsia="方正仿宋简体" w:cs="仿宋"/>
          <w:sz w:val="24"/>
        </w:rPr>
        <w:t>说明：“单位综合评价”，单位对本年度专业技术申报人员分为优、 良两个层次上报，比例为1：4（即：“优”占比20%、“良”占比80%），按四舍五入原则确定人员。对于四舍五入后未达到一名“优”的单位（只有1-2名申报人员的单位），不再进行单独综合考核水平评价，直接确认为“良”，或者由上一级</w:t>
      </w:r>
      <w:r>
        <w:rPr>
          <w:rFonts w:hint="eastAsia" w:ascii="宋体" w:hAnsi="宋体" w:eastAsia="方正仿宋简体" w:cs="仿宋"/>
          <w:color w:val="000000"/>
          <w:sz w:val="24"/>
        </w:rPr>
        <w:t>教育</w:t>
      </w:r>
      <w:r>
        <w:rPr>
          <w:rFonts w:hint="eastAsia" w:ascii="宋体" w:hAnsi="宋体" w:eastAsia="方正仿宋简体" w:cs="仿宋"/>
          <w:sz w:val="24"/>
        </w:rPr>
        <w:t>行政主管部门集中此类单位人员按上述比例进行“单位综合考评水平评价”工作。</w:t>
      </w:r>
    </w:p>
    <w:p>
      <w:pPr>
        <w:adjustRightInd/>
        <w:snapToGrid/>
        <w:spacing w:after="0" w:line="560" w:lineRule="exact"/>
        <w:ind w:firstLine="482" w:firstLineChars="200"/>
        <w:jc w:val="both"/>
        <w:rPr>
          <w:rFonts w:ascii="宋体" w:hAnsi="宋体" w:eastAsia="方正仿宋简体"/>
          <w:b/>
          <w:sz w:val="24"/>
        </w:rPr>
      </w:pPr>
      <w:r>
        <w:rPr>
          <w:rFonts w:hint="eastAsia" w:ascii="宋体" w:hAnsi="宋体" w:eastAsia="方正仿宋简体" w:cs="仿宋"/>
          <w:b/>
          <w:sz w:val="24"/>
        </w:rPr>
        <w:t>经各县市区教育行政主管部门综合审定后，综合考评为“优”的申报人向宜昌高评委办报送此表。综合考评为“良”的申报人不报送。</w:t>
      </w:r>
    </w:p>
    <w:p>
      <w:pPr>
        <w:spacing w:line="220" w:lineRule="atLeast"/>
        <w:rPr>
          <w:rFonts w:ascii="宋体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42456"/>
    <w:rsid w:val="00107F6B"/>
    <w:rsid w:val="00282DD6"/>
    <w:rsid w:val="00323B43"/>
    <w:rsid w:val="00371445"/>
    <w:rsid w:val="003D37D8"/>
    <w:rsid w:val="00426133"/>
    <w:rsid w:val="004358AB"/>
    <w:rsid w:val="008A3F41"/>
    <w:rsid w:val="008B7726"/>
    <w:rsid w:val="00AE73D1"/>
    <w:rsid w:val="00B35B93"/>
    <w:rsid w:val="00BD70C3"/>
    <w:rsid w:val="00D31D50"/>
    <w:rsid w:val="00F10670"/>
    <w:rsid w:val="7194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447</Characters>
  <Lines>3</Lines>
  <Paragraphs>1</Paragraphs>
  <TotalTime>14</TotalTime>
  <ScaleCrop>false</ScaleCrop>
  <LinksUpToDate>false</LinksUpToDate>
  <CharactersWithSpaces>524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lenovo1009</dc:creator>
  <cp:lastModifiedBy>lenovo1009</cp:lastModifiedBy>
  <dcterms:modified xsi:type="dcterms:W3CDTF">2022-07-21T07:38:06Z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